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2260"/>
        <w:rPr>
          <w:b w:val="0"/>
          <w:sz w:val="20"/>
        </w:rPr>
      </w:pPr>
      <w:r>
        <w:rPr>
          <w:b w:val="0"/>
          <w:sz w:val="20"/>
        </w:rPr>
        <w:pict>
          <v:group style="width:140.950pt;height:12pt;mso-position-horizontal-relative:char;mso-position-vertical-relative:line" coordorigin="0,0" coordsize="2819,240">
            <v:shape style="position:absolute;left:0;top:0;width:2819;height:240" type="#_x0000_t75" stroked="false">
              <v:imagedata r:id="rId6" o:title=""/>
            </v:shape>
            <v:shape style="position:absolute;left:0;top:0;width:360;height:240" type="#_x0000_t75" stroked="false">
              <v:imagedata r:id="rId7" o:title=""/>
            </v:shape>
            <v:shape style="position:absolute;left:0;top:0;width:2819;height:240" type="#_x0000_t202" filled="false" stroked="false">
              <v:textbox inset="0,0,0,0">
                <w:txbxContent>
                  <w:p>
                    <w:pPr>
                      <w:spacing w:before="48"/>
                      <w:ind w:left="427" w:right="0" w:firstLine="0"/>
                      <w:jc w:val="left"/>
                      <w:rPr>
                        <w:rFonts w:ascii="Calibri"/>
                        <w:sz w:val="13"/>
                      </w:rPr>
                    </w:pPr>
                    <w:r>
                      <w:rPr>
                        <w:rFonts w:ascii="Calibri"/>
                        <w:w w:val="115"/>
                        <w:sz w:val="13"/>
                      </w:rPr>
                      <w:t>Ref. Ares(2020)6372997 - 05/11/2020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spacing w:before="64"/>
        <w:ind w:left="233" w:right="735"/>
        <w:jc w:val="center"/>
      </w:pPr>
      <w:r>
        <w:rPr/>
        <w:t>« FICHE CONTRADICTOIRE »</w:t>
      </w:r>
    </w:p>
    <w:p>
      <w:pPr>
        <w:pStyle w:val="BodyText"/>
        <w:spacing w:before="1"/>
      </w:pPr>
    </w:p>
    <w:p>
      <w:pPr>
        <w:pStyle w:val="BodyText"/>
        <w:ind w:left="233" w:right="736"/>
        <w:jc w:val="center"/>
      </w:pPr>
      <w:r>
        <w:rPr/>
        <w:t>Mid-term Evaluation of the European Union Emergency Trust Fund (EUTF) for Stability and Addressing Root Causes of Irregular Migration and Displaced Persons in Africa (2015-2019)</w:t>
      </w:r>
    </w:p>
    <w:p>
      <w:pPr>
        <w:pStyle w:val="BodyText"/>
        <w:spacing w:before="11"/>
        <w:rPr>
          <w:sz w:val="27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38"/>
        <w:gridCol w:w="4678"/>
        <w:gridCol w:w="3260"/>
      </w:tblGrid>
      <w:tr>
        <w:trPr>
          <w:trHeight w:val="827" w:hRule="atLeast"/>
        </w:trPr>
        <w:tc>
          <w:tcPr>
            <w:tcW w:w="7338" w:type="dxa"/>
            <w:shd w:val="clear" w:color="auto" w:fill="D9D9D9"/>
          </w:tcPr>
          <w:p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Recommendations</w:t>
            </w:r>
            <w:r>
              <w:rPr>
                <w:b/>
                <w:color w:val="FF0000"/>
                <w:sz w:val="24"/>
                <w:vertAlign w:val="superscript"/>
              </w:rPr>
              <w:t>1</w:t>
            </w:r>
          </w:p>
        </w:tc>
        <w:tc>
          <w:tcPr>
            <w:tcW w:w="4678" w:type="dxa"/>
            <w:shd w:val="clear" w:color="auto" w:fill="D9D9D9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Response of EU services</w:t>
            </w:r>
          </w:p>
        </w:tc>
        <w:tc>
          <w:tcPr>
            <w:tcW w:w="3260" w:type="dxa"/>
            <w:shd w:val="clear" w:color="auto" w:fill="D9D9D9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Follow-up (one year later)</w:t>
            </w:r>
          </w:p>
        </w:tc>
      </w:tr>
      <w:tr>
        <w:trPr>
          <w:trHeight w:val="2069" w:hRule="atLeast"/>
        </w:trPr>
        <w:tc>
          <w:tcPr>
            <w:tcW w:w="7338" w:type="dxa"/>
          </w:tcPr>
          <w:p>
            <w:pPr>
              <w:pStyle w:val="TableParagraph"/>
              <w:spacing w:line="261" w:lineRule="auto" w:before="15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R-1: During the remaining implementation period, the EUTF should focus on generating further knowledge and understanding of its interventions and do this in a collaborative manner with other international bodies. To better capture outcomes and impacts, an ex- post evaluation should be conducted at least one year after all EUTF activities have been completed.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392" w:val="left" w:leader="none"/>
                <w:tab w:pos="2439" w:val="left" w:leader="none"/>
                <w:tab w:pos="3680" w:val="left" w:leader="none"/>
              </w:tabs>
              <w:spacing w:line="269" w:lineRule="exact"/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</w:t>
            </w:r>
            <w:r>
              <w:rPr>
                <w:rFonts w:ascii="Garamond"/>
                <w:i/>
                <w:sz w:val="24"/>
              </w:rPr>
              <w:t>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00" w:hRule="atLeast"/>
        </w:trPr>
        <w:tc>
          <w:tcPr>
            <w:tcW w:w="7338" w:type="dxa"/>
          </w:tcPr>
          <w:p>
            <w:pPr>
              <w:pStyle w:val="TableParagraph"/>
              <w:spacing w:line="261" w:lineRule="auto" w:before="17"/>
              <w:rPr>
                <w:b/>
                <w:sz w:val="24"/>
              </w:rPr>
            </w:pPr>
            <w:r>
              <w:rPr>
                <w:b/>
                <w:sz w:val="24"/>
              </w:rPr>
              <w:t>R-2: The EU should consider programming all its interventions in a country or region within </w:t>
            </w:r>
            <w:r>
              <w:rPr>
                <w:b/>
                <w:i/>
                <w:sz w:val="24"/>
              </w:rPr>
              <w:t>one </w:t>
            </w:r>
            <w:r>
              <w:rPr>
                <w:b/>
                <w:sz w:val="24"/>
              </w:rPr>
              <w:t>common (analytical) framework.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223" w:hRule="atLeast"/>
        </w:trPr>
        <w:tc>
          <w:tcPr>
            <w:tcW w:w="7338" w:type="dxa"/>
          </w:tcPr>
          <w:p>
            <w:pPr>
              <w:pStyle w:val="TableParagraph"/>
              <w:spacing w:before="59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R-3: The EU should have differentiated results framework structures depending on the development challenges in the partner country/region.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spacing w:line="269" w:lineRule="exact"/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223" w:hRule="atLeast"/>
        </w:trPr>
        <w:tc>
          <w:tcPr>
            <w:tcW w:w="7338" w:type="dxa"/>
          </w:tcPr>
          <w:p>
            <w:pPr>
              <w:pStyle w:val="TableParagraph"/>
              <w:spacing w:before="59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R-4: The EU should strengthen the treatment of migration in its bilateral and regional programmes, ensuring that the entire Valletta Action agenda is covered.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spacing w:line="269" w:lineRule="exact"/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224" w:hRule="atLeast"/>
        </w:trPr>
        <w:tc>
          <w:tcPr>
            <w:tcW w:w="7338" w:type="dxa"/>
          </w:tcPr>
          <w:p>
            <w:pPr>
              <w:pStyle w:val="TableParagraph"/>
              <w:spacing w:before="60"/>
              <w:ind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R-5: The EU should develop differentiated contracting and implementation regulations for Fragility, Conflict and Violence (FCV)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contexts.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spacing w:before="2"/>
        <w:rPr>
          <w:sz w:val="18"/>
        </w:rPr>
      </w:pPr>
      <w:r>
        <w:rPr/>
        <w:pict>
          <v:rect style="position:absolute;margin-left:56.691002pt;margin-top:12.42pt;width:144pt;height:.6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5"/>
        <w:ind w:left="213" w:right="599" w:hanging="1"/>
        <w:jc w:val="left"/>
        <w:rPr>
          <w:rFonts w:ascii="Arial"/>
          <w:b/>
          <w:sz w:val="22"/>
        </w:rPr>
      </w:pPr>
      <w:r>
        <w:rPr>
          <w:position w:val="7"/>
          <w:sz w:val="10"/>
        </w:rPr>
        <w:t>1 </w:t>
      </w:r>
      <w:r>
        <w:rPr>
          <w:rFonts w:ascii="Arial"/>
          <w:b/>
          <w:color w:val="FF0000"/>
          <w:sz w:val="22"/>
        </w:rPr>
        <w:t>For details on the ideas and possible actions proposed by the evaluation team to implement these recommendations, please consult section 5.2 of the evaluation report.</w:t>
      </w:r>
    </w:p>
    <w:p>
      <w:pPr>
        <w:spacing w:after="0"/>
        <w:jc w:val="left"/>
        <w:rPr>
          <w:rFonts w:ascii="Arial"/>
          <w:sz w:val="22"/>
        </w:rPr>
        <w:sectPr>
          <w:footerReference w:type="default" r:id="rId5"/>
          <w:type w:val="continuous"/>
          <w:pgSz w:w="16840" w:h="11910" w:orient="landscape"/>
          <w:pgMar w:footer="695" w:top="580" w:bottom="880" w:left="920" w:right="420"/>
          <w:pgNumType w:start="1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38"/>
        <w:gridCol w:w="4678"/>
        <w:gridCol w:w="3260"/>
      </w:tblGrid>
      <w:tr>
        <w:trPr>
          <w:trHeight w:val="827" w:hRule="atLeast"/>
        </w:trPr>
        <w:tc>
          <w:tcPr>
            <w:tcW w:w="7338" w:type="dxa"/>
            <w:shd w:val="clear" w:color="auto" w:fill="D9D9D9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Recommendations</w:t>
            </w:r>
            <w:r>
              <w:rPr>
                <w:b/>
                <w:color w:val="FF0000"/>
                <w:sz w:val="24"/>
                <w:vertAlign w:val="superscript"/>
              </w:rPr>
              <w:t>1</w:t>
            </w:r>
          </w:p>
        </w:tc>
        <w:tc>
          <w:tcPr>
            <w:tcW w:w="4678" w:type="dxa"/>
            <w:shd w:val="clear" w:color="auto" w:fill="D9D9D9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Response of EU services</w:t>
            </w:r>
          </w:p>
        </w:tc>
        <w:tc>
          <w:tcPr>
            <w:tcW w:w="3260" w:type="dxa"/>
            <w:shd w:val="clear" w:color="auto" w:fill="D9D9D9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Follow-up (one year later)</w:t>
            </w:r>
          </w:p>
        </w:tc>
      </w:tr>
      <w:tr>
        <w:trPr>
          <w:trHeight w:val="1224" w:hRule="atLeast"/>
        </w:trPr>
        <w:tc>
          <w:tcPr>
            <w:tcW w:w="7338" w:type="dxa"/>
          </w:tcPr>
          <w:p>
            <w:pPr>
              <w:pStyle w:val="TableParagraph"/>
              <w:spacing w:before="54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R-6: The EU support to economic opportunities and employment creation should be embedded within larger market development efforts and private sector involvement.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spacing w:line="265" w:lineRule="exact"/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223" w:hRule="atLeast"/>
        </w:trPr>
        <w:tc>
          <w:tcPr>
            <w:tcW w:w="7338" w:type="dxa"/>
          </w:tcPr>
          <w:p>
            <w:pPr>
              <w:pStyle w:val="TableParagraph"/>
              <w:spacing w:before="53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R-7: The EU should provide “whole of community” resilience interventions particularly when addressing situations of natural resource fragility.</w:t>
            </w:r>
          </w:p>
        </w:tc>
        <w:tc>
          <w:tcPr>
            <w:tcW w:w="4678" w:type="dxa"/>
          </w:tcPr>
          <w:p>
            <w:pPr>
              <w:pStyle w:val="TableParagraph"/>
              <w:tabs>
                <w:tab w:pos="1425" w:val="left" w:leader="none"/>
                <w:tab w:pos="2489" w:val="left" w:leader="none"/>
                <w:tab w:pos="3763" w:val="left" w:leader="none"/>
              </w:tabs>
              <w:spacing w:line="264" w:lineRule="exact"/>
              <w:rPr>
                <w:rFonts w:ascii="Garamond"/>
                <w:b/>
                <w:sz w:val="24"/>
              </w:rPr>
            </w:pPr>
            <w:r>
              <w:rPr>
                <w:rFonts w:ascii="Garamond"/>
                <w:b/>
                <w:sz w:val="24"/>
              </w:rPr>
              <w:t>Accepted/</w:t>
              <w:tab/>
              <w:t>partially</w:t>
              <w:tab/>
              <w:t>accepted/</w:t>
              <w:tab/>
              <w:t>rejected</w:t>
            </w:r>
          </w:p>
          <w:p>
            <w:pPr>
              <w:pStyle w:val="TableParagraph"/>
              <w:rPr>
                <w:rFonts w:ascii="Garamond"/>
                <w:i/>
                <w:sz w:val="24"/>
              </w:rPr>
            </w:pPr>
            <w:r>
              <w:rPr>
                <w:rFonts w:ascii="Garamond"/>
                <w:i/>
                <w:sz w:val="24"/>
                <w:shd w:fill="FFFF00" w:color="auto" w:val="clear"/>
              </w:rPr>
              <w:t>(please select as appropriate and develop the response).</w:t>
            </w: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sectPr>
      <w:pgSz w:w="16840" w:h="11910" w:orient="landscape"/>
      <w:pgMar w:header="0" w:footer="695" w:top="900" w:bottom="880" w:left="9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aramond">
    <w:altName w:val="Garamond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76.150574pt;margin-top:545.466614pt;width:12pt;height:15.3pt;mso-position-horizontal-relative:page;mso-position-vertical-relative:page;z-index:-1580544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daoudhi</dc:creator>
  <dc:title>« FICHE CONTRADICTOIRE »</dc:title>
  <dcterms:created xsi:type="dcterms:W3CDTF">2021-01-27T02:56:44Z</dcterms:created>
  <dcterms:modified xsi:type="dcterms:W3CDTF">2021-01-27T02:56:44Z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PDF CoDe 2018 4.7111.7111 (c) 2002-2018 European Commission</vt:lpwstr>
  </property>
  <property fmtid="{D5CDD505-2E9C-101B-9397-08002B2CF9AE}" pid="4" name="LastSaved">
    <vt:filetime>2021-01-27T00:00:00Z</vt:filetime>
  </property>
</Properties>
</file>